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rPr>
        <w:t>嘉禾县人民检察院部门决算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第一部分嘉禾县人民检察院概况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sz w:val="84"/>
          <w:szCs w:val="84"/>
        </w:rPr>
      </w:pPr>
      <w:r>
        <w:rPr>
          <w:rFonts w:hint="eastAsia"/>
          <w:sz w:val="84"/>
          <w:szCs w:val="84"/>
        </w:rPr>
        <w:t>嘉禾县人民检察院单位概况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pacing w:line="56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嘉禾县人民检察院的主要职责是：</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1.深入贯彻习近平新时代中国特色社会主义思想，深入贯彻党的路线方针政策和决策部署，接受上级检察院的领导，坚持党对检察工作的绝对领导，坚决维护习近平总书记的核心地位，坚决维护党中央权威和集中统一领导。</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2.贯彻落实上级人民检察院的各项工作部署，研究制定检察工作规划，部署检察工作任务。</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3.依照法律规定对由本院直接受理的刑事案件开展侦查工作。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4.开展对刑事犯罪案件的审查批准逮捕、决定逮捕、提起公诉工作。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5.负责应由县人民检察院承办的刑事、民事、行政诉讼活动及刑事、民事、行政判决和裁定等生效法律文书执行的法律监督工作。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6.负责应由县人民检察院承办的提起公益诉讼工作。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7.负责应由县人民检察院承办的对监狱、看守所等执法活动的法律监督工作。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8.负责应由县人民检察院承办的控告申诉检察工作。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9.做好检察机关队伍建设和思想政治工作。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10.规划检察机关的财务装备工作与检察技术信息工作。</w:t>
      </w:r>
    </w:p>
    <w:p>
      <w:pPr>
        <w:widowControl/>
        <w:spacing w:line="600" w:lineRule="exact"/>
        <w:ind w:firstLine="640" w:firstLineChars="200"/>
        <w:rPr>
          <w:rFonts w:asciiTheme="minorEastAsia" w:hAnsiTheme="minorEastAsia" w:cstheme="minorEastAsia"/>
          <w:color w:val="000000"/>
          <w:sz w:val="32"/>
          <w:szCs w:val="32"/>
        </w:rPr>
      </w:pPr>
      <w:r>
        <w:rPr>
          <w:rFonts w:hint="eastAsia" w:asciiTheme="minorEastAsia" w:hAnsiTheme="minorEastAsia" w:cstheme="minorEastAsia"/>
          <w:color w:val="000000"/>
          <w:sz w:val="32"/>
          <w:szCs w:val="32"/>
        </w:rPr>
        <w:t>11.负责其他应当由县人民检察院承办的事项。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27" w:firstLineChars="196"/>
        <w:jc w:val="left"/>
        <w:rPr>
          <w:rFonts w:asciiTheme="minorEastAsia" w:hAnsiTheme="minorEastAsia" w:cstheme="minorEastAsia"/>
          <w:bCs/>
          <w:kern w:val="0"/>
          <w:sz w:val="32"/>
          <w:szCs w:val="32"/>
        </w:rPr>
      </w:pPr>
      <w:r>
        <w:rPr>
          <w:rFonts w:hint="eastAsia" w:asciiTheme="minorEastAsia" w:hAnsiTheme="minorEastAsia"/>
          <w:bCs/>
          <w:kern w:val="0"/>
          <w:sz w:val="32"/>
          <w:szCs w:val="32"/>
        </w:rPr>
        <w:t>（</w:t>
      </w:r>
      <w:r>
        <w:rPr>
          <w:rFonts w:hint="eastAsia" w:asciiTheme="minorEastAsia" w:hAnsiTheme="minorEastAsia" w:cstheme="minorEastAsia"/>
          <w:bCs/>
          <w:kern w:val="0"/>
          <w:sz w:val="32"/>
          <w:szCs w:val="32"/>
        </w:rPr>
        <w:t>一）内设机构设置。</w:t>
      </w:r>
    </w:p>
    <w:p>
      <w:pPr>
        <w:widowControl/>
        <w:spacing w:line="600" w:lineRule="exact"/>
        <w:ind w:firstLine="627" w:firstLineChars="196"/>
        <w:jc w:val="left"/>
        <w:rPr>
          <w:rFonts w:asciiTheme="minorEastAsia" w:hAnsiTheme="minorEastAsia"/>
          <w:bCs/>
          <w:kern w:val="0"/>
          <w:sz w:val="32"/>
          <w:szCs w:val="32"/>
        </w:rPr>
      </w:pPr>
      <w:r>
        <w:rPr>
          <w:rFonts w:hint="eastAsia" w:asciiTheme="minorEastAsia" w:hAnsiTheme="minorEastAsia" w:cstheme="minorEastAsia"/>
          <w:bCs/>
          <w:kern w:val="0"/>
          <w:sz w:val="32"/>
          <w:szCs w:val="32"/>
        </w:rPr>
        <w:t>嘉禾县人民检察院内设机构包括：</w:t>
      </w:r>
      <w:r>
        <w:rPr>
          <w:rFonts w:hint="eastAsia" w:asciiTheme="minorEastAsia" w:hAnsiTheme="minorEastAsia" w:cstheme="minorEastAsia"/>
          <w:sz w:val="32"/>
        </w:rPr>
        <w:t>办公室、第一检察部、第二检察部、第三检察部、政治部。</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嘉禾县人民检察院</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21年部门决算汇总公开单位构成包括：嘉禾县人民检察院本级。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4997" w:type="pct"/>
        <w:tblInd w:w="0" w:type="dxa"/>
        <w:tblLayout w:type="autofit"/>
        <w:tblCellMar>
          <w:top w:w="0" w:type="dxa"/>
          <w:left w:w="108" w:type="dxa"/>
          <w:bottom w:w="0" w:type="dxa"/>
          <w:right w:w="108" w:type="dxa"/>
        </w:tblCellMar>
      </w:tblPr>
      <w:tblGrid>
        <w:gridCol w:w="4138"/>
        <w:gridCol w:w="616"/>
        <w:gridCol w:w="2614"/>
        <w:gridCol w:w="4064"/>
        <w:gridCol w:w="617"/>
        <w:gridCol w:w="2116"/>
      </w:tblGrid>
      <w:tr>
        <w:tblPrEx>
          <w:tblCellMar>
            <w:top w:w="0" w:type="dxa"/>
            <w:left w:w="108" w:type="dxa"/>
            <w:bottom w:w="0" w:type="dxa"/>
            <w:right w:w="108" w:type="dxa"/>
          </w:tblCellMar>
        </w:tblPrEx>
        <w:trPr>
          <w:trHeight w:val="375" w:hRule="atLeast"/>
        </w:trPr>
        <w:tc>
          <w:tcPr>
            <w:tcW w:w="5000" w:type="pct"/>
            <w:gridSpan w:val="6"/>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收入支出决算总表</w:t>
            </w:r>
          </w:p>
        </w:tc>
      </w:tr>
      <w:tr>
        <w:tblPrEx>
          <w:tblCellMar>
            <w:top w:w="0" w:type="dxa"/>
            <w:left w:w="108" w:type="dxa"/>
            <w:bottom w:w="0" w:type="dxa"/>
            <w:right w:w="108" w:type="dxa"/>
          </w:tblCellMar>
        </w:tblPrEx>
        <w:trPr>
          <w:trHeight w:val="300" w:hRule="atLeast"/>
        </w:trPr>
        <w:tc>
          <w:tcPr>
            <w:tcW w:w="146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7"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92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43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17"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744"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公开01表</w:t>
            </w:r>
          </w:p>
        </w:tc>
      </w:tr>
      <w:tr>
        <w:tblPrEx>
          <w:tblCellMar>
            <w:top w:w="0" w:type="dxa"/>
            <w:left w:w="108" w:type="dxa"/>
            <w:bottom w:w="0" w:type="dxa"/>
            <w:right w:w="108" w:type="dxa"/>
          </w:tblCellMar>
        </w:tblPrEx>
        <w:trPr>
          <w:trHeight w:val="300" w:hRule="atLeast"/>
        </w:trPr>
        <w:tc>
          <w:tcPr>
            <w:tcW w:w="1461" w:type="pct"/>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217"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923" w:type="pct"/>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2021年度</w:t>
            </w:r>
          </w:p>
        </w:tc>
        <w:tc>
          <w:tcPr>
            <w:tcW w:w="1435"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17"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744"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2601"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收入</w:t>
            </w:r>
          </w:p>
        </w:tc>
        <w:tc>
          <w:tcPr>
            <w:tcW w:w="2398" w:type="pct"/>
            <w:gridSpan w:val="3"/>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支出</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92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1435" w:type="pct"/>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744"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17"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92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435" w:type="pct"/>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17"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744"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1,033.58</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三、国有资本经营预算财政拨款收入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四、上级补助收入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934.59</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五、事业收入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六、经营收入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七、附属单位上缴收入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八、其他收入</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49.18</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38.54</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1,082.76</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1,046.35</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使用非财政拨款结余</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结余分配</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52.41</w:t>
            </w:r>
          </w:p>
        </w:tc>
        <w:tc>
          <w:tcPr>
            <w:tcW w:w="1435"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88.83</w:t>
            </w: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92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435"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744" w:type="pct"/>
            <w:tcBorders>
              <w:top w:val="nil"/>
              <w:left w:val="nil"/>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461"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923"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1,135.17</w:t>
            </w:r>
          </w:p>
        </w:tc>
        <w:tc>
          <w:tcPr>
            <w:tcW w:w="1435" w:type="pct"/>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17"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74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1,135.17</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注：1.本表反映部门本年度的总收支和年末结转结余情况。</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2.本套报表金额单位转换时可能存在尾数误差。</w:t>
            </w:r>
          </w:p>
        </w:tc>
      </w:tr>
      <w:tr>
        <w:tblPrEx>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bl>
    <w:p>
      <w:pPr>
        <w:jc w:val="center"/>
        <w:rPr>
          <w:rFonts w:ascii="黑体" w:hAnsi="黑体" w:eastAsia="黑体"/>
          <w:sz w:val="28"/>
          <w:szCs w:val="28"/>
        </w:rPr>
      </w:pPr>
    </w:p>
    <w:p>
      <w:pPr>
        <w:jc w:val="cente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tbl>
      <w:tblPr>
        <w:tblStyle w:val="6"/>
        <w:tblW w:w="0" w:type="auto"/>
        <w:tblInd w:w="0" w:type="dxa"/>
        <w:tblLayout w:type="autofit"/>
        <w:tblCellMar>
          <w:top w:w="0" w:type="dxa"/>
          <w:left w:w="108" w:type="dxa"/>
          <w:bottom w:w="0" w:type="dxa"/>
          <w:right w:w="108" w:type="dxa"/>
        </w:tblCellMar>
      </w:tblPr>
      <w:tblGrid>
        <w:gridCol w:w="2636"/>
        <w:gridCol w:w="222"/>
        <w:gridCol w:w="222"/>
        <w:gridCol w:w="3616"/>
        <w:gridCol w:w="1145"/>
        <w:gridCol w:w="1233"/>
        <w:gridCol w:w="867"/>
        <w:gridCol w:w="743"/>
        <w:gridCol w:w="743"/>
        <w:gridCol w:w="991"/>
        <w:gridCol w:w="1756"/>
      </w:tblGrid>
      <w:tr>
        <w:tblPrEx>
          <w:tblCellMar>
            <w:top w:w="0" w:type="dxa"/>
            <w:left w:w="108" w:type="dxa"/>
            <w:bottom w:w="0" w:type="dxa"/>
            <w:right w:w="108" w:type="dxa"/>
          </w:tblCellMar>
        </w:tblPrEx>
        <w:trPr>
          <w:trHeight w:val="375" w:hRule="atLeast"/>
        </w:trPr>
        <w:tc>
          <w:tcPr>
            <w:tcW w:w="0" w:type="auto"/>
            <w:gridSpan w:val="11"/>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收入决算表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公开02表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本年收入合计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财政拨款收入</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上级补助收入</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事业收入</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经营收入</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附属单位上缴收入</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其他收入</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1,082.76</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1,033.58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49.18</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20101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人大事务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2010101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970.58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921.40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49.18</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966.08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921.40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44.68</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825.08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780.40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44.68</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141.00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20499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其他公共安全支出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4.50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4.50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2049902</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国家司法救助支出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38.97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38.97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37.50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37.50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11"/>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注：本表反映部门本年度取得的各项收入情况。</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6"/>
        <w:tblW w:w="0" w:type="auto"/>
        <w:tblInd w:w="0" w:type="dxa"/>
        <w:tblLayout w:type="autofit"/>
        <w:tblCellMar>
          <w:top w:w="0" w:type="dxa"/>
          <w:left w:w="108" w:type="dxa"/>
          <w:bottom w:w="0" w:type="dxa"/>
          <w:right w:w="108" w:type="dxa"/>
        </w:tblCellMar>
      </w:tblPr>
      <w:tblGrid>
        <w:gridCol w:w="342"/>
        <w:gridCol w:w="342"/>
        <w:gridCol w:w="342"/>
        <w:gridCol w:w="3616"/>
        <w:gridCol w:w="1183"/>
        <w:gridCol w:w="844"/>
        <w:gridCol w:w="844"/>
        <w:gridCol w:w="715"/>
        <w:gridCol w:w="667"/>
        <w:gridCol w:w="1787"/>
      </w:tblGrid>
      <w:tr>
        <w:tblPrEx>
          <w:tblCellMar>
            <w:top w:w="0" w:type="dxa"/>
            <w:left w:w="108" w:type="dxa"/>
            <w:bottom w:w="0" w:type="dxa"/>
            <w:right w:w="108" w:type="dxa"/>
          </w:tblCellMar>
        </w:tblPrEx>
        <w:trPr>
          <w:trHeight w:val="375" w:hRule="atLeast"/>
        </w:trPr>
        <w:tc>
          <w:tcPr>
            <w:tcW w:w="0" w:type="auto"/>
            <w:gridSpan w:val="10"/>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公开03表</w:t>
            </w:r>
          </w:p>
        </w:tc>
      </w:tr>
      <w:tr>
        <w:tblPrEx>
          <w:tblCellMar>
            <w:top w:w="0" w:type="dxa"/>
            <w:left w:w="108" w:type="dxa"/>
            <w:bottom w:w="0" w:type="dxa"/>
            <w:right w:w="108" w:type="dxa"/>
          </w:tblCellMar>
        </w:tblPrEx>
        <w:trPr>
          <w:trHeight w:val="282" w:hRule="atLeast"/>
        </w:trPr>
        <w:tc>
          <w:tcPr>
            <w:tcW w:w="0" w:type="auto"/>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部门：嘉禾县人民检察院</w:t>
            </w: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本年支出合计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上缴上级支出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经营支出</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对附属单位补助支出</w:t>
            </w:r>
          </w:p>
        </w:tc>
      </w:tr>
      <w:tr>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1,046.35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928.60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20101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人大事务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2010101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934.59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816.84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930.09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812.34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812.34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812.34</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117.75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117.75</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20499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其他公共安全支出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4.50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4.50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2049902</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国家司法救助支出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38.54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38.54</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37.08</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37.08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37.08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0" w:type="auto"/>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rPr>
          <w:rFonts w:ascii="Times New Roman" w:hAnsi="Times New Roman" w:eastAsia="方正小标宋_GBK" w:cs="Times New Roman"/>
          <w:kern w:val="0"/>
          <w:sz w:val="36"/>
          <w:szCs w:val="36"/>
        </w:rPr>
      </w:pPr>
      <w:bookmarkStart w:id="0" w:name="RANGE!A1:I22"/>
      <w:bookmarkEnd w:id="0"/>
      <w:bookmarkStart w:id="1" w:name="RANGE!A1:F16"/>
    </w:p>
    <w:p>
      <w:pPr>
        <w:widowControl/>
        <w:jc w:val="center"/>
        <w:rPr>
          <w:rFonts w:ascii="Times New Roman" w:hAnsi="Times New Roman" w:eastAsia="方正小标宋_GBK" w:cs="Times New Roman"/>
          <w:kern w:val="0"/>
          <w:sz w:val="36"/>
          <w:szCs w:val="36"/>
        </w:rPr>
        <w:sectPr>
          <w:pgSz w:w="11906" w:h="16838"/>
          <w:pgMar w:top="720" w:right="720" w:bottom="720" w:left="720" w:header="851" w:footer="992" w:gutter="0"/>
          <w:cols w:space="425" w:num="1"/>
          <w:docGrid w:type="linesAndChars" w:linePitch="312" w:charSpace="0"/>
        </w:sectPr>
      </w:pPr>
    </w:p>
    <w:tbl>
      <w:tblPr>
        <w:tblStyle w:val="6"/>
        <w:tblW w:w="5000" w:type="pct"/>
        <w:tblInd w:w="0" w:type="dxa"/>
        <w:tblLayout w:type="fixed"/>
        <w:tblCellMar>
          <w:top w:w="0" w:type="dxa"/>
          <w:left w:w="108" w:type="dxa"/>
          <w:bottom w:w="0" w:type="dxa"/>
          <w:right w:w="108" w:type="dxa"/>
        </w:tblCellMar>
      </w:tblPr>
      <w:tblGrid>
        <w:gridCol w:w="3135"/>
        <w:gridCol w:w="890"/>
        <w:gridCol w:w="1159"/>
        <w:gridCol w:w="3138"/>
        <w:gridCol w:w="890"/>
        <w:gridCol w:w="1552"/>
        <w:gridCol w:w="1658"/>
        <w:gridCol w:w="1365"/>
        <w:gridCol w:w="1827"/>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财政拨款收入支出决算总表</w:t>
            </w:r>
          </w:p>
        </w:tc>
      </w:tr>
      <w:tr>
        <w:tblPrEx>
          <w:tblCellMar>
            <w:top w:w="0" w:type="dxa"/>
            <w:left w:w="108" w:type="dxa"/>
            <w:bottom w:w="0" w:type="dxa"/>
            <w:right w:w="108" w:type="dxa"/>
          </w:tblCellMar>
        </w:tblPrEx>
        <w:trPr>
          <w:trHeight w:val="300" w:hRule="atLeast"/>
        </w:trPr>
        <w:tc>
          <w:tcPr>
            <w:tcW w:w="1004"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8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7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04"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8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9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3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3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84"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公开04表</w:t>
            </w:r>
          </w:p>
        </w:tc>
      </w:tr>
      <w:tr>
        <w:tblPrEx>
          <w:tblCellMar>
            <w:top w:w="0" w:type="dxa"/>
            <w:left w:w="108" w:type="dxa"/>
            <w:bottom w:w="0" w:type="dxa"/>
            <w:right w:w="108" w:type="dxa"/>
          </w:tblCellMar>
        </w:tblPrEx>
        <w:trPr>
          <w:trHeight w:val="670" w:hRule="atLeast"/>
        </w:trPr>
        <w:tc>
          <w:tcPr>
            <w:tcW w:w="2665" w:type="pct"/>
            <w:gridSpan w:val="4"/>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部门：嘉禾县人民检察院</w:t>
            </w:r>
          </w:p>
        </w:tc>
        <w:tc>
          <w:tcPr>
            <w:tcW w:w="782" w:type="pct"/>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rPr>
              <w:t>2021年度</w:t>
            </w:r>
          </w:p>
        </w:tc>
        <w:tc>
          <w:tcPr>
            <w:tcW w:w="1552" w:type="pct"/>
            <w:gridSpan w:val="3"/>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1660"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收     入</w:t>
            </w:r>
          </w:p>
        </w:tc>
        <w:tc>
          <w:tcPr>
            <w:tcW w:w="3339" w:type="pct"/>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支     出</w:t>
            </w:r>
          </w:p>
        </w:tc>
      </w:tr>
      <w:tr>
        <w:tblPrEx>
          <w:tblCellMar>
            <w:top w:w="0" w:type="dxa"/>
            <w:left w:w="108" w:type="dxa"/>
            <w:bottom w:w="0" w:type="dxa"/>
            <w:right w:w="108" w:type="dxa"/>
          </w:tblCellMar>
        </w:tblPrEx>
        <w:trPr>
          <w:trHeight w:val="312" w:hRule="atLeast"/>
        </w:trPr>
        <w:tc>
          <w:tcPr>
            <w:tcW w:w="1004"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85"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37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w:t>
            </w:r>
          </w:p>
        </w:tc>
        <w:tc>
          <w:tcPr>
            <w:tcW w:w="1004" w:type="pct"/>
            <w:vMerge w:val="restart"/>
            <w:tcBorders>
              <w:top w:val="nil"/>
              <w:left w:val="nil"/>
              <w:bottom w:val="single" w:color="000000" w:sz="4" w:space="0"/>
              <w:right w:val="single" w:color="000000" w:sz="4" w:space="0"/>
            </w:tcBorders>
            <w:shd w:val="clear" w:color="auto" w:fill="C0C0C0"/>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85"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行次</w:t>
            </w:r>
          </w:p>
        </w:tc>
        <w:tc>
          <w:tcPr>
            <w:tcW w:w="496" w:type="pct"/>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53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一般公共预算财政拨款</w:t>
            </w:r>
          </w:p>
        </w:tc>
        <w:tc>
          <w:tcPr>
            <w:tcW w:w="43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政府性基金预算财政拨款</w:t>
            </w:r>
          </w:p>
        </w:tc>
        <w:tc>
          <w:tcPr>
            <w:tcW w:w="584"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国有资本经营预算财政拨款</w:t>
            </w:r>
          </w:p>
        </w:tc>
      </w:tr>
      <w:tr>
        <w:tblPrEx>
          <w:tblCellMar>
            <w:top w:w="0" w:type="dxa"/>
            <w:left w:w="108" w:type="dxa"/>
            <w:bottom w:w="0" w:type="dxa"/>
            <w:right w:w="108" w:type="dxa"/>
          </w:tblCellMar>
        </w:tblPrEx>
        <w:trPr>
          <w:trHeight w:val="600" w:hRule="atLeast"/>
        </w:trPr>
        <w:tc>
          <w:tcPr>
            <w:tcW w:w="1004" w:type="pct"/>
            <w:vMerge w:val="continue"/>
            <w:tcBorders>
              <w:top w:val="nil"/>
              <w:left w:val="single" w:color="000000" w:sz="4" w:space="0"/>
              <w:bottom w:val="single" w:color="000000" w:sz="4" w:space="0"/>
              <w:right w:val="single" w:color="000000" w:sz="4" w:space="0"/>
            </w:tcBorders>
            <w:shd w:val="clear" w:color="auto" w:fill="C0C0C0"/>
            <w:vAlign w:val="center"/>
          </w:tcPr>
          <w:p>
            <w:pPr>
              <w:rPr>
                <w:rFonts w:ascii="宋体" w:hAnsi="宋体" w:eastAsia="宋体" w:cs="宋体"/>
                <w:color w:val="000000"/>
                <w:sz w:val="20"/>
                <w:szCs w:val="20"/>
              </w:rPr>
            </w:pPr>
          </w:p>
        </w:tc>
        <w:tc>
          <w:tcPr>
            <w:tcW w:w="285"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71"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004" w:type="pct"/>
            <w:vMerge w:val="continue"/>
            <w:tcBorders>
              <w:top w:val="nil"/>
              <w:left w:val="nil"/>
              <w:bottom w:val="single" w:color="000000" w:sz="4" w:space="0"/>
              <w:right w:val="single" w:color="000000" w:sz="4" w:space="0"/>
            </w:tcBorders>
            <w:shd w:val="clear" w:color="auto" w:fill="C0C0C0"/>
            <w:vAlign w:val="bottom"/>
          </w:tcPr>
          <w:p>
            <w:pPr>
              <w:rPr>
                <w:rFonts w:ascii="宋体" w:hAnsi="宋体" w:eastAsia="宋体" w:cs="宋体"/>
                <w:color w:val="000000"/>
                <w:sz w:val="20"/>
                <w:szCs w:val="20"/>
              </w:rPr>
            </w:pPr>
          </w:p>
        </w:tc>
        <w:tc>
          <w:tcPr>
            <w:tcW w:w="285"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96"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531"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3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84"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85"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371"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004" w:type="pct"/>
            <w:tcBorders>
              <w:top w:val="nil"/>
              <w:left w:val="nil"/>
              <w:bottom w:val="single" w:color="000000" w:sz="4" w:space="0"/>
              <w:right w:val="single" w:color="000000" w:sz="4" w:space="0"/>
            </w:tcBorders>
            <w:shd w:val="clear" w:color="auto" w:fill="C0C0C0"/>
            <w:noWrap/>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285" w:type="pct"/>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496"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531"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436"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584"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一、一般公共预算财政拨款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1,033.58</w:t>
            </w: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一、一般公共服务支出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二、政府性基金预算财政拨款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二、外交支出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三、国有资本经营财政拨款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三、国防支出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四、公共安全支出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885.40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885.40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五、教育支出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六、科学技术支出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七、文化旅游体育与传媒支出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八、社会保障和就业支出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38.54</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38.54</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九、卫生健康支出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十、节能环保支出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十一、城乡社区支出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十二、农林水支出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十三、交通运输支出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十四、资源勘探工业信息等支出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十五、商业服务业等支出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十六、金融支出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十七、援助其他地区支出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十八、自然资源海洋气象等支出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十九、住房保障支出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二十、粮油物资储备支出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二十一、国有资本经营预算支出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二十二、灾害防治及应急管理支出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二十三、其他支出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center"/>
              <w:rPr>
                <w:rFonts w:ascii="宋体" w:hAnsi="宋体" w:eastAsia="宋体" w:cs="宋体"/>
                <w:b/>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二十四、债务还本支出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二十五、债务付息支出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37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二十六、抗疫特别国债安排的支出</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本年收入合计</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1,033.58</w:t>
            </w:r>
          </w:p>
        </w:tc>
        <w:tc>
          <w:tcPr>
            <w:tcW w:w="1004"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本年支出合计</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997.16</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997.16</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年初财政拨款结转和结余</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52.41</w:t>
            </w:r>
          </w:p>
        </w:tc>
        <w:tc>
          <w:tcPr>
            <w:tcW w:w="1004"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年末财政拨款结转和结余</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88.83</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88.83</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一般公共预算财政拨款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52.41</w:t>
            </w:r>
          </w:p>
        </w:tc>
        <w:tc>
          <w:tcPr>
            <w:tcW w:w="1004"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4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3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84"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政府性基金预算财政拨款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4"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4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3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84"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国有资本经营预算财政拨款</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1004"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w:t>
            </w:r>
          </w:p>
        </w:tc>
        <w:tc>
          <w:tcPr>
            <w:tcW w:w="49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31"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3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84"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004" w:type="pct"/>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37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1,085.99</w:t>
            </w:r>
          </w:p>
        </w:tc>
        <w:tc>
          <w:tcPr>
            <w:tcW w:w="1004" w:type="pct"/>
            <w:tcBorders>
              <w:top w:val="nil"/>
              <w:left w:val="nil"/>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总计</w:t>
            </w:r>
          </w:p>
        </w:tc>
        <w:tc>
          <w:tcPr>
            <w:tcW w:w="285"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p>
        </w:tc>
        <w:tc>
          <w:tcPr>
            <w:tcW w:w="49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1,085.99</w:t>
            </w:r>
          </w:p>
        </w:tc>
        <w:tc>
          <w:tcPr>
            <w:tcW w:w="531"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1,085.99</w:t>
            </w:r>
          </w:p>
        </w:tc>
        <w:tc>
          <w:tcPr>
            <w:tcW w:w="43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58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4415" w:type="pct"/>
            <w:gridSpan w:val="8"/>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注：本表反映部门本年度一般公共预算财政拨款、政府性基金预算财政拨款和国有资本经营预算财政拨款的总收支和年末结转结余情况。</w:t>
            </w:r>
          </w:p>
        </w:tc>
        <w:tc>
          <w:tcPr>
            <w:tcW w:w="584" w:type="pct"/>
            <w:tcBorders>
              <w:top w:val="nil"/>
              <w:left w:val="nil"/>
              <w:bottom w:val="nil"/>
              <w:right w:val="nil"/>
            </w:tcBorders>
            <w:shd w:val="clear" w:color="auto" w:fill="FFFFFF"/>
            <w:noWrap/>
            <w:vAlign w:val="center"/>
          </w:tcPr>
          <w:p>
            <w:pPr>
              <w:jc w:val="lef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4415" w:type="pct"/>
            <w:gridSpan w:val="8"/>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84"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bl>
    <w:p>
      <w:pPr>
        <w:widowControl/>
        <w:jc w:val="center"/>
        <w:rPr>
          <w:rFonts w:ascii="Times New Roman" w:hAnsi="Times New Roman" w:eastAsia="方正小标宋_GBK" w:cs="Times New Roman"/>
          <w:kern w:val="0"/>
          <w:sz w:val="36"/>
          <w:szCs w:val="36"/>
        </w:rPr>
        <w:sectPr>
          <w:pgSz w:w="16838" w:h="11906" w:orient="landscape"/>
          <w:pgMar w:top="720" w:right="720" w:bottom="720" w:left="720" w:header="851" w:footer="992" w:gutter="0"/>
          <w:cols w:space="425" w:num="1"/>
          <w:docGrid w:type="linesAndChars" w:linePitch="312" w:charSpace="0"/>
        </w:sectPr>
      </w:pPr>
    </w:p>
    <w:bookmarkEnd w:id="1"/>
    <w:tbl>
      <w:tblPr>
        <w:tblStyle w:val="6"/>
        <w:tblW w:w="4999" w:type="pct"/>
        <w:tblInd w:w="0" w:type="dxa"/>
        <w:tblLayout w:type="autofit"/>
        <w:tblCellMar>
          <w:top w:w="0" w:type="dxa"/>
          <w:left w:w="108" w:type="dxa"/>
          <w:bottom w:w="0" w:type="dxa"/>
          <w:right w:w="108" w:type="dxa"/>
        </w:tblCellMar>
      </w:tblPr>
      <w:tblGrid>
        <w:gridCol w:w="3541"/>
        <w:gridCol w:w="322"/>
        <w:gridCol w:w="328"/>
        <w:gridCol w:w="4858"/>
        <w:gridCol w:w="2026"/>
        <w:gridCol w:w="2029"/>
        <w:gridCol w:w="2507"/>
      </w:tblGrid>
      <w:tr>
        <w:tblPrEx>
          <w:tblCellMar>
            <w:top w:w="0" w:type="dxa"/>
            <w:left w:w="108" w:type="dxa"/>
            <w:bottom w:w="0" w:type="dxa"/>
            <w:right w:w="108" w:type="dxa"/>
          </w:tblCellMar>
        </w:tblPrEx>
        <w:trPr>
          <w:trHeight w:val="375" w:hRule="atLeast"/>
        </w:trPr>
        <w:tc>
          <w:tcPr>
            <w:tcW w:w="4197" w:type="pct"/>
            <w:gridSpan w:val="6"/>
            <w:tcBorders>
              <w:top w:val="nil"/>
              <w:left w:val="nil"/>
              <w:bottom w:val="nil"/>
              <w:right w:val="nil"/>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一般公共预算财政拨款支出决算表</w:t>
            </w:r>
          </w:p>
        </w:tc>
        <w:tc>
          <w:tcPr>
            <w:tcW w:w="802"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1134"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55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64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64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02"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公开05表</w:t>
            </w:r>
          </w:p>
        </w:tc>
      </w:tr>
      <w:tr>
        <w:tblPrEx>
          <w:tblCellMar>
            <w:top w:w="0" w:type="dxa"/>
            <w:left w:w="108" w:type="dxa"/>
            <w:bottom w:w="0" w:type="dxa"/>
            <w:right w:w="108" w:type="dxa"/>
          </w:tblCellMar>
        </w:tblPrEx>
        <w:trPr>
          <w:trHeight w:val="300" w:hRule="atLeast"/>
        </w:trPr>
        <w:tc>
          <w:tcPr>
            <w:tcW w:w="1134" w:type="pct"/>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10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0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556" w:type="pct"/>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649"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649"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02"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2898"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2101"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1342"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556" w:type="pct"/>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649"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649"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802"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13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56"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64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64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802"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1342"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556"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64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64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802"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898"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2898"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997.16</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879.42</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一般公共服务支出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20101</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人大事务</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3.00</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2010101</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3.00</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公共安全支出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885.40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767.66</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20404</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检察</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885.40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767.66</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117.75</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2040401</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行政运行</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767.66</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767.66</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2040402</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一般行政管理事务</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117.75</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117.75</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社会保障和就业支出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38.54</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38.54</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20805</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行政事业单位养老支出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37.08</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37.08</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2080505</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机关事业单位基本养老保险缴费支出</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37.08</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37.08</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20899</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其他社会保障和就业支出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1.47</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2089999</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其他社会保障和就业支出</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卫生健康支出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21011</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行政事业单位医疗</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19.70</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2101101</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行政单位医疗</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住房保障支出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22102</w:t>
            </w:r>
          </w:p>
        </w:tc>
        <w:tc>
          <w:tcPr>
            <w:tcW w:w="1556"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住房改革支出</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649"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50.52</w:t>
            </w:r>
          </w:p>
        </w:tc>
        <w:tc>
          <w:tcPr>
            <w:tcW w:w="802" w:type="pct"/>
            <w:tcBorders>
              <w:top w:val="nil"/>
              <w:left w:val="nil"/>
              <w:bottom w:val="single" w:color="000000" w:sz="4" w:space="0"/>
              <w:right w:val="single" w:color="000000" w:sz="4" w:space="0"/>
            </w:tcBorders>
            <w:shd w:val="clear" w:color="auto" w:fill="C0C0C0"/>
            <w:noWrap/>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0.00</w:t>
            </w:r>
          </w:p>
        </w:tc>
      </w:tr>
      <w:tr>
        <w:tblPrEx>
          <w:tblCellMar>
            <w:top w:w="0" w:type="dxa"/>
            <w:left w:w="108" w:type="dxa"/>
            <w:bottom w:w="0" w:type="dxa"/>
            <w:right w:w="108" w:type="dxa"/>
          </w:tblCellMar>
        </w:tblPrEx>
        <w:trPr>
          <w:trHeight w:val="300" w:hRule="atLeast"/>
        </w:trPr>
        <w:tc>
          <w:tcPr>
            <w:tcW w:w="1342" w:type="pct"/>
            <w:gridSpan w:val="3"/>
            <w:tcBorders>
              <w:top w:val="nil"/>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2210201</w:t>
            </w:r>
          </w:p>
        </w:tc>
        <w:tc>
          <w:tcPr>
            <w:tcW w:w="1556" w:type="pct"/>
            <w:tcBorders>
              <w:top w:val="nil"/>
              <w:left w:val="nil"/>
              <w:bottom w:val="single" w:color="000000" w:sz="4" w:space="0"/>
              <w:right w:val="single" w:color="000000" w:sz="4" w:space="0"/>
            </w:tcBorders>
            <w:shd w:val="clear" w:color="auto" w:fill="CC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649"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802"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注：本表反映部门本年度一般公共预算财政拨款支出情况。</w:t>
            </w:r>
          </w:p>
        </w:tc>
      </w:tr>
    </w:tbl>
    <w:p>
      <w:pPr>
        <w:widowControl/>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AndChars" w:linePitch="312" w:charSpace="0"/>
        </w:sectPr>
      </w:pPr>
    </w:p>
    <w:tbl>
      <w:tblPr>
        <w:tblStyle w:val="6"/>
        <w:tblW w:w="5000" w:type="pct"/>
        <w:tblInd w:w="0" w:type="dxa"/>
        <w:tblLayout w:type="fixed"/>
        <w:tblCellMar>
          <w:top w:w="0" w:type="dxa"/>
          <w:left w:w="108" w:type="dxa"/>
          <w:bottom w:w="0" w:type="dxa"/>
          <w:right w:w="108" w:type="dxa"/>
        </w:tblCellMar>
      </w:tblPr>
      <w:tblGrid>
        <w:gridCol w:w="864"/>
        <w:gridCol w:w="2748"/>
        <w:gridCol w:w="1583"/>
        <w:gridCol w:w="881"/>
        <w:gridCol w:w="2589"/>
        <w:gridCol w:w="1730"/>
        <w:gridCol w:w="962"/>
        <w:gridCol w:w="2508"/>
        <w:gridCol w:w="1749"/>
      </w:tblGrid>
      <w:tr>
        <w:tblPrEx>
          <w:tblCellMar>
            <w:top w:w="0" w:type="dxa"/>
            <w:left w:w="108" w:type="dxa"/>
            <w:bottom w:w="0" w:type="dxa"/>
            <w:right w:w="108" w:type="dxa"/>
          </w:tblCellMar>
        </w:tblPrEx>
        <w:trPr>
          <w:trHeight w:val="375" w:hRule="atLeast"/>
        </w:trPr>
        <w:tc>
          <w:tcPr>
            <w:tcW w:w="5000" w:type="pct"/>
            <w:gridSpan w:val="9"/>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一般公共预算财政拨款基本支出决算明细表</w:t>
            </w:r>
          </w:p>
        </w:tc>
      </w:tr>
      <w:tr>
        <w:tblPrEx>
          <w:tblCellMar>
            <w:top w:w="0" w:type="dxa"/>
            <w:left w:w="108" w:type="dxa"/>
            <w:bottom w:w="0" w:type="dxa"/>
            <w:right w:w="108" w:type="dxa"/>
          </w:tblCellMar>
        </w:tblPrEx>
        <w:trPr>
          <w:trHeight w:val="300" w:hRule="atLeast"/>
        </w:trPr>
        <w:tc>
          <w:tcPr>
            <w:tcW w:w="277"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80"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06"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282"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2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54"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308"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80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58"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公开06表</w:t>
            </w:r>
          </w:p>
        </w:tc>
      </w:tr>
      <w:tr>
        <w:tblPrEx>
          <w:tblCellMar>
            <w:top w:w="0" w:type="dxa"/>
            <w:left w:w="108" w:type="dxa"/>
            <w:bottom w:w="0" w:type="dxa"/>
            <w:right w:w="108" w:type="dxa"/>
          </w:tblCellMar>
        </w:tblPrEx>
        <w:trPr>
          <w:trHeight w:val="300" w:hRule="atLeast"/>
        </w:trPr>
        <w:tc>
          <w:tcPr>
            <w:tcW w:w="1157" w:type="pct"/>
            <w:gridSpan w:val="2"/>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0"/>
                <w:szCs w:val="20"/>
              </w:rPr>
              <w:t>部门：嘉禾县人民检察院</w:t>
            </w:r>
          </w:p>
        </w:tc>
        <w:tc>
          <w:tcPr>
            <w:tcW w:w="506"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282"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29" w:type="pct"/>
            <w:tcBorders>
              <w:top w:val="nil"/>
              <w:left w:val="nil"/>
              <w:bottom w:val="single" w:color="808080" w:sz="4" w:space="0"/>
              <w:right w:val="nil"/>
            </w:tcBorders>
            <w:shd w:val="clear" w:color="auto" w:fill="FFFFFF"/>
            <w:noWrap/>
            <w:vAlign w:val="center"/>
          </w:tcPr>
          <w:p>
            <w:pPr>
              <w:jc w:val="center"/>
              <w:rPr>
                <w:rFonts w:ascii="宋体" w:hAnsi="宋体" w:eastAsia="宋体" w:cs="宋体"/>
                <w:color w:val="000000"/>
                <w:sz w:val="22"/>
              </w:rPr>
            </w:pPr>
          </w:p>
        </w:tc>
        <w:tc>
          <w:tcPr>
            <w:tcW w:w="554"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308"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801"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558"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1664" w:type="pct"/>
            <w:gridSpan w:val="3"/>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w:t>
            </w:r>
          </w:p>
        </w:tc>
        <w:tc>
          <w:tcPr>
            <w:tcW w:w="3335" w:type="pct"/>
            <w:gridSpan w:val="6"/>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w:t>
            </w:r>
          </w:p>
        </w:tc>
      </w:tr>
      <w:tr>
        <w:tblPrEx>
          <w:tblCellMar>
            <w:top w:w="0" w:type="dxa"/>
            <w:left w:w="108" w:type="dxa"/>
            <w:bottom w:w="0" w:type="dxa"/>
            <w:right w:w="108" w:type="dxa"/>
          </w:tblCellMar>
        </w:tblPrEx>
        <w:trPr>
          <w:trHeight w:val="312" w:hRule="atLeast"/>
        </w:trPr>
        <w:tc>
          <w:tcPr>
            <w:tcW w:w="277" w:type="pct"/>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880"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0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282"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829"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54"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c>
          <w:tcPr>
            <w:tcW w:w="308"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科目编码</w:t>
            </w:r>
          </w:p>
        </w:tc>
        <w:tc>
          <w:tcPr>
            <w:tcW w:w="801"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558"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12" w:hRule="atLeast"/>
        </w:trPr>
        <w:tc>
          <w:tcPr>
            <w:tcW w:w="277" w:type="pct"/>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880"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0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82"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829"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54"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308"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801"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58"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455.12</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407.30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162.60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37.85</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115.80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67.60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4.29</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37.08</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7.30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19.70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26.08</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1.47</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50.52</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0.36</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30217</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3.72</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100.36</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19.06</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16.00</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对民间非营利组织和群众性自治组织补贴</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6.59</w:t>
            </w:r>
          </w:p>
        </w:tc>
        <w:tc>
          <w:tcPr>
            <w:tcW w:w="308"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801"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30311</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代缴社会保险费</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26.00</w:t>
            </w:r>
          </w:p>
        </w:tc>
        <w:tc>
          <w:tcPr>
            <w:tcW w:w="308"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01"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5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880"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9.00</w:t>
            </w: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308"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01"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5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77" w:type="pct"/>
            <w:tcBorders>
              <w:top w:val="nil"/>
              <w:left w:val="single" w:color="000000" w:sz="4" w:space="0"/>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80"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0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282"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829" w:type="pct"/>
            <w:tcBorders>
              <w:top w:val="nil"/>
              <w:left w:val="nil"/>
              <w:bottom w:val="single" w:color="000000" w:sz="4" w:space="0"/>
              <w:right w:val="single" w:color="000000" w:sz="4" w:space="0"/>
            </w:tcBorders>
            <w:shd w:val="clear" w:color="auto" w:fill="C0C0C0"/>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554"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58.06</w:t>
            </w:r>
          </w:p>
        </w:tc>
        <w:tc>
          <w:tcPr>
            <w:tcW w:w="308"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801" w:type="pct"/>
            <w:tcBorders>
              <w:top w:val="nil"/>
              <w:left w:val="nil"/>
              <w:bottom w:val="single" w:color="000000" w:sz="4" w:space="0"/>
              <w:right w:val="single" w:color="000000" w:sz="4" w:space="0"/>
            </w:tcBorders>
            <w:shd w:val="clear" w:color="auto" w:fill="C0C0C0"/>
            <w:noWrap/>
            <w:vAlign w:val="center"/>
          </w:tcPr>
          <w:p>
            <w:pPr>
              <w:jc w:val="left"/>
              <w:rPr>
                <w:rFonts w:ascii="宋体" w:hAnsi="宋体" w:eastAsia="宋体" w:cs="宋体"/>
                <w:color w:val="000000"/>
                <w:sz w:val="20"/>
                <w:szCs w:val="20"/>
              </w:rPr>
            </w:pPr>
          </w:p>
        </w:tc>
        <w:tc>
          <w:tcPr>
            <w:tcW w:w="558"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1157" w:type="pct"/>
            <w:gridSpan w:val="2"/>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506"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472.12</w:t>
            </w:r>
          </w:p>
        </w:tc>
        <w:tc>
          <w:tcPr>
            <w:tcW w:w="2776" w:type="pct"/>
            <w:gridSpan w:val="5"/>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558" w:type="pct"/>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407.30</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注：本表反映部门本年度一般公共预算财政拨款基本支出明细情况。</w:t>
            </w:r>
          </w:p>
        </w:tc>
      </w:tr>
      <w:tr>
        <w:tblPrEx>
          <w:tblCellMar>
            <w:top w:w="0" w:type="dxa"/>
            <w:left w:w="108" w:type="dxa"/>
            <w:bottom w:w="0" w:type="dxa"/>
            <w:right w:w="108" w:type="dxa"/>
          </w:tblCellMar>
        </w:tblPrEx>
        <w:trPr>
          <w:trHeight w:val="300" w:hRule="atLeast"/>
        </w:trPr>
        <w:tc>
          <w:tcPr>
            <w:tcW w:w="5000" w:type="pct"/>
            <w:gridSpan w:val="9"/>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bl>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pPr>
    </w:p>
    <w:p>
      <w:pPr>
        <w:widowControl/>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AndChars" w:linePitch="312" w:charSpace="0"/>
        </w:sectPr>
      </w:pPr>
    </w:p>
    <w:tbl>
      <w:tblPr>
        <w:tblStyle w:val="6"/>
        <w:tblW w:w="0" w:type="auto"/>
        <w:tblInd w:w="93" w:type="dxa"/>
        <w:tblLayout w:type="autofit"/>
        <w:tblCellMar>
          <w:top w:w="0" w:type="dxa"/>
          <w:left w:w="108" w:type="dxa"/>
          <w:bottom w:w="0" w:type="dxa"/>
          <w:right w:w="108" w:type="dxa"/>
        </w:tblCellMar>
      </w:tblPr>
      <w:tblGrid>
        <w:gridCol w:w="2722"/>
        <w:gridCol w:w="1378"/>
        <w:gridCol w:w="740"/>
        <w:gridCol w:w="1172"/>
        <w:gridCol w:w="1222"/>
        <w:gridCol w:w="1223"/>
        <w:gridCol w:w="740"/>
        <w:gridCol w:w="1378"/>
        <w:gridCol w:w="740"/>
        <w:gridCol w:w="1221"/>
        <w:gridCol w:w="1172"/>
        <w:gridCol w:w="1813"/>
      </w:tblGrid>
      <w:tr>
        <w:tblPrEx>
          <w:tblCellMar>
            <w:top w:w="0" w:type="dxa"/>
            <w:left w:w="108" w:type="dxa"/>
            <w:bottom w:w="0" w:type="dxa"/>
            <w:right w:w="108" w:type="dxa"/>
          </w:tblCellMar>
        </w:tblPrEx>
        <w:trPr>
          <w:trHeight w:val="375" w:hRule="atLeast"/>
        </w:trPr>
        <w:tc>
          <w:tcPr>
            <w:tcW w:w="0" w:type="auto"/>
            <w:gridSpan w:val="12"/>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一般公共预算财政拨款“三公”经费支出决算表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预算代码：</w:t>
            </w: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公开07表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6"/>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预算数</w:t>
            </w:r>
          </w:p>
        </w:tc>
        <w:tc>
          <w:tcPr>
            <w:tcW w:w="0" w:type="auto"/>
            <w:gridSpan w:val="6"/>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决算数</w:t>
            </w:r>
          </w:p>
        </w:tc>
      </w:tr>
      <w:tr>
        <w:tblPrEx>
          <w:tblCellMar>
            <w:top w:w="0" w:type="dxa"/>
            <w:left w:w="108" w:type="dxa"/>
            <w:bottom w:w="0" w:type="dxa"/>
            <w:right w:w="108" w:type="dxa"/>
          </w:tblCellMar>
        </w:tblPrEx>
        <w:trPr>
          <w:trHeight w:val="300" w:hRule="atLeast"/>
        </w:trPr>
        <w:tc>
          <w:tcPr>
            <w:tcW w:w="0" w:type="auto"/>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0" w:type="auto"/>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因公出国（境）费</w:t>
            </w:r>
          </w:p>
        </w:tc>
        <w:tc>
          <w:tcPr>
            <w:tcW w:w="0" w:type="auto"/>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公务用车购置及运行费</w:t>
            </w:r>
          </w:p>
        </w:tc>
        <w:tc>
          <w:tcPr>
            <w:tcW w:w="0" w:type="auto"/>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公务接待费</w:t>
            </w:r>
          </w:p>
        </w:tc>
      </w:tr>
      <w:tr>
        <w:tblPrEx>
          <w:tblCellMar>
            <w:top w:w="0" w:type="dxa"/>
            <w:left w:w="108" w:type="dxa"/>
            <w:bottom w:w="0" w:type="dxa"/>
            <w:right w:w="108" w:type="dxa"/>
          </w:tblCellMar>
        </w:tblPrEx>
        <w:trPr>
          <w:trHeight w:val="600" w:hRule="atLeast"/>
        </w:trPr>
        <w:tc>
          <w:tcPr>
            <w:tcW w:w="0" w:type="auto"/>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公务用车购置费</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公务用车运行费</w:t>
            </w:r>
          </w:p>
        </w:tc>
        <w:tc>
          <w:tcPr>
            <w:tcW w:w="0" w:type="auto"/>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11</w:t>
            </w:r>
          </w:p>
        </w:tc>
        <w:tc>
          <w:tcPr>
            <w:tcW w:w="0" w:type="auto"/>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r>
      <w:tr>
        <w:tblPrEx>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34.80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00FF00"/>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24.80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24.80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28.29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24.57</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17.98</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6.59</w:t>
            </w:r>
          </w:p>
        </w:tc>
        <w:tc>
          <w:tcPr>
            <w:tcW w:w="0" w:type="auto"/>
            <w:tcBorders>
              <w:top w:val="nil"/>
              <w:left w:val="nil"/>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3.72</w:t>
            </w:r>
          </w:p>
        </w:tc>
      </w:tr>
      <w:tr>
        <w:tblPrEx>
          <w:tblCellMar>
            <w:top w:w="0" w:type="dxa"/>
            <w:left w:w="108" w:type="dxa"/>
            <w:bottom w:w="0" w:type="dxa"/>
            <w:right w:w="108" w:type="dxa"/>
          </w:tblCellMar>
        </w:tblPrEx>
        <w:trPr>
          <w:trHeight w:val="600" w:hRule="atLeast"/>
        </w:trPr>
        <w:tc>
          <w:tcPr>
            <w:tcW w:w="0" w:type="auto"/>
            <w:gridSpan w:val="12"/>
            <w:tcBorders>
              <w:top w:val="nil"/>
              <w:left w:val="nil"/>
              <w:bottom w:val="nil"/>
              <w:right w:val="nil"/>
            </w:tcBorders>
            <w:shd w:val="clear" w:color="auto" w:fill="FFFFFF"/>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AndChars" w:linePitch="312" w:charSpace="0"/>
        </w:sectPr>
      </w:pPr>
    </w:p>
    <w:p>
      <w:pPr>
        <w:widowControl/>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AndChars" w:linePitch="312" w:charSpace="0"/>
        </w:sectPr>
      </w:pPr>
    </w:p>
    <w:tbl>
      <w:tblPr>
        <w:tblStyle w:val="6"/>
        <w:tblW w:w="4997" w:type="pct"/>
        <w:tblInd w:w="0" w:type="dxa"/>
        <w:tblLayout w:type="autofit"/>
        <w:tblCellMar>
          <w:top w:w="0" w:type="dxa"/>
          <w:left w:w="108" w:type="dxa"/>
          <w:bottom w:w="0" w:type="dxa"/>
          <w:right w:w="108" w:type="dxa"/>
        </w:tblCellMar>
      </w:tblPr>
      <w:tblGrid>
        <w:gridCol w:w="2636"/>
        <w:gridCol w:w="222"/>
        <w:gridCol w:w="222"/>
        <w:gridCol w:w="1726"/>
        <w:gridCol w:w="5616"/>
        <w:gridCol w:w="855"/>
        <w:gridCol w:w="855"/>
        <w:gridCol w:w="856"/>
        <w:gridCol w:w="860"/>
        <w:gridCol w:w="1757"/>
      </w:tblGrid>
      <w:tr>
        <w:tblPrEx>
          <w:tblCellMar>
            <w:top w:w="0" w:type="dxa"/>
            <w:left w:w="108" w:type="dxa"/>
            <w:bottom w:w="0" w:type="dxa"/>
            <w:right w:w="108" w:type="dxa"/>
          </w:tblCellMar>
        </w:tblPrEx>
        <w:trPr>
          <w:trHeight w:val="375" w:hRule="atLeast"/>
        </w:trPr>
        <w:tc>
          <w:tcPr>
            <w:tcW w:w="75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1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政府性基金预算财政拨款收入支出决算表</w:t>
            </w: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06" w:type="pct"/>
            <w:tcBorders>
              <w:top w:val="nil"/>
              <w:left w:val="nil"/>
              <w:bottom w:val="nil"/>
              <w:right w:val="single" w:color="808080" w:sz="4" w:space="0"/>
            </w:tcBorders>
            <w:shd w:val="clear" w:color="auto" w:fill="FFFFFF"/>
            <w:noWrap/>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300" w:hRule="atLeast"/>
        </w:trPr>
        <w:tc>
          <w:tcPr>
            <w:tcW w:w="755"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01"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1119"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506" w:type="pct"/>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公开08表</w:t>
            </w:r>
          </w:p>
        </w:tc>
      </w:tr>
      <w:tr>
        <w:tblPrEx>
          <w:tblCellMar>
            <w:top w:w="0" w:type="dxa"/>
            <w:left w:w="108" w:type="dxa"/>
            <w:bottom w:w="0" w:type="dxa"/>
            <w:right w:w="108" w:type="dxa"/>
          </w:tblCellMar>
        </w:tblPrEx>
        <w:trPr>
          <w:trHeight w:val="300" w:hRule="atLeast"/>
        </w:trPr>
        <w:tc>
          <w:tcPr>
            <w:tcW w:w="755" w:type="pct"/>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101"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01"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1119"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48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483" w:type="pct"/>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506" w:type="pct"/>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2077"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83"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年初结转和结余</w:t>
            </w:r>
          </w:p>
        </w:tc>
        <w:tc>
          <w:tcPr>
            <w:tcW w:w="483"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本年收入</w:t>
            </w:r>
          </w:p>
        </w:tc>
        <w:tc>
          <w:tcPr>
            <w:tcW w:w="1450" w:type="pct"/>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c>
          <w:tcPr>
            <w:tcW w:w="506"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年末结转和结余</w:t>
            </w:r>
          </w:p>
        </w:tc>
      </w:tr>
      <w:tr>
        <w:tblPrEx>
          <w:tblCellMar>
            <w:top w:w="0" w:type="dxa"/>
            <w:left w:w="108" w:type="dxa"/>
            <w:bottom w:w="0" w:type="dxa"/>
            <w:right w:w="108" w:type="dxa"/>
          </w:tblCellMar>
        </w:tblPrEx>
        <w:trPr>
          <w:trHeight w:val="312" w:hRule="atLeast"/>
        </w:trPr>
        <w:tc>
          <w:tcPr>
            <w:tcW w:w="957" w:type="pct"/>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1119" w:type="pct"/>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小计</w:t>
            </w:r>
          </w:p>
        </w:tc>
        <w:tc>
          <w:tcPr>
            <w:tcW w:w="483"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483" w:type="pct"/>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c>
          <w:tcPr>
            <w:tcW w:w="50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119"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0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957" w:type="pct"/>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119" w:type="pct"/>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483"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506" w:type="pct"/>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2077"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48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48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48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48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483"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506" w:type="pc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r>
      <w:tr>
        <w:tblPrEx>
          <w:tblCellMar>
            <w:top w:w="0" w:type="dxa"/>
            <w:left w:w="108" w:type="dxa"/>
            <w:bottom w:w="0" w:type="dxa"/>
            <w:right w:w="108" w:type="dxa"/>
          </w:tblCellMar>
        </w:tblPrEx>
        <w:trPr>
          <w:trHeight w:val="300" w:hRule="atLeast"/>
        </w:trPr>
        <w:tc>
          <w:tcPr>
            <w:tcW w:w="2077" w:type="pct"/>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c>
          <w:tcPr>
            <w:tcW w:w="50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0"/>
                <w:szCs w:val="20"/>
              </w:rPr>
            </w:pPr>
            <w:r>
              <w:rPr>
                <w:rFonts w:hint="eastAsia" w:ascii="宋体" w:hAnsi="宋体" w:eastAsia="宋体" w:cs="宋体"/>
                <w:b/>
                <w:bCs/>
                <w:color w:val="000000"/>
                <w:sz w:val="20"/>
                <w:szCs w:val="20"/>
              </w:rPr>
              <w:t>0.00</w:t>
            </w:r>
          </w:p>
        </w:tc>
      </w:tr>
      <w:tr>
        <w:tblPrEx>
          <w:tblCellMar>
            <w:top w:w="0" w:type="dxa"/>
            <w:left w:w="108" w:type="dxa"/>
            <w:bottom w:w="0" w:type="dxa"/>
            <w:right w:w="108" w:type="dxa"/>
          </w:tblCellMar>
        </w:tblPrEx>
        <w:trPr>
          <w:trHeight w:val="300" w:hRule="atLeast"/>
        </w:trPr>
        <w:tc>
          <w:tcPr>
            <w:tcW w:w="957" w:type="pct"/>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1119" w:type="pct"/>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0"/>
                <w:szCs w:val="20"/>
              </w:rPr>
            </w:pP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483"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c>
          <w:tcPr>
            <w:tcW w:w="506" w:type="pct"/>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注：本表反映部门本年度政府性基金预算财政拨款收入、支出及结转和结余情况。2021年度本部门无政府性基金收支，因此本表无数据。</w:t>
            </w:r>
          </w:p>
        </w:tc>
      </w:tr>
    </w:tbl>
    <w:p>
      <w:pPr>
        <w:widowControl/>
        <w:rPr>
          <w:rFonts w:ascii="Times New Roman" w:hAnsi="Times New Roman" w:eastAsia="方正小标宋_GBK" w:cs="Times New Roman"/>
          <w:color w:val="000000"/>
          <w:kern w:val="0"/>
          <w:sz w:val="36"/>
          <w:szCs w:val="36"/>
        </w:rPr>
        <w:sectPr>
          <w:pgSz w:w="16838" w:h="11906" w:orient="landscape"/>
          <w:pgMar w:top="720" w:right="720" w:bottom="720" w:left="720" w:header="851" w:footer="992" w:gutter="0"/>
          <w:cols w:space="425" w:num="1"/>
          <w:docGrid w:type="linesAndChars" w:linePitch="312" w:charSpace="0"/>
        </w:sectPr>
      </w:pPr>
    </w:p>
    <w:tbl>
      <w:tblPr>
        <w:tblStyle w:val="6"/>
        <w:tblW w:w="10589" w:type="dxa"/>
        <w:tblInd w:w="93" w:type="dxa"/>
        <w:tblLayout w:type="autofit"/>
        <w:tblCellMar>
          <w:top w:w="0" w:type="dxa"/>
          <w:left w:w="108" w:type="dxa"/>
          <w:bottom w:w="0" w:type="dxa"/>
          <w:right w:w="108" w:type="dxa"/>
        </w:tblCellMar>
      </w:tblPr>
      <w:tblGrid>
        <w:gridCol w:w="3427"/>
        <w:gridCol w:w="303"/>
        <w:gridCol w:w="303"/>
        <w:gridCol w:w="1475"/>
        <w:gridCol w:w="1224"/>
        <w:gridCol w:w="1224"/>
        <w:gridCol w:w="2633"/>
      </w:tblGrid>
      <w:tr>
        <w:tblPrEx>
          <w:tblCellMar>
            <w:top w:w="0" w:type="dxa"/>
            <w:left w:w="108" w:type="dxa"/>
            <w:bottom w:w="0" w:type="dxa"/>
            <w:right w:w="108" w:type="dxa"/>
          </w:tblCellMar>
        </w:tblPrEx>
        <w:trPr>
          <w:trHeight w:val="375" w:hRule="atLeast"/>
        </w:trPr>
        <w:tc>
          <w:tcPr>
            <w:tcW w:w="10589" w:type="dxa"/>
            <w:gridSpan w:val="7"/>
            <w:tcBorders>
              <w:top w:val="nil"/>
              <w:left w:val="nil"/>
              <w:bottom w:val="nil"/>
              <w:right w:val="single" w:color="808080" w:sz="4" w:space="0"/>
            </w:tcBorders>
            <w:shd w:val="clear" w:color="auto" w:fill="FFFFFF"/>
            <w:noWrap/>
            <w:vAlign w:val="center"/>
          </w:tcPr>
          <w:p>
            <w:pPr>
              <w:jc w:val="center"/>
              <w:rPr>
                <w:rFonts w:ascii="宋体" w:hAnsi="宋体" w:eastAsia="宋体" w:cs="宋体"/>
                <w:color w:val="000000"/>
                <w:sz w:val="18"/>
                <w:szCs w:val="18"/>
              </w:rPr>
            </w:pPr>
            <w:r>
              <w:rPr>
                <w:rFonts w:hint="eastAsia" w:ascii="黑体" w:hAnsi="宋体" w:eastAsia="黑体" w:cs="黑体"/>
                <w:color w:val="000000"/>
                <w:kern w:val="0"/>
                <w:sz w:val="30"/>
                <w:szCs w:val="30"/>
              </w:rPr>
              <w:t>国有资本经营预算财政拨款支出决算表</w:t>
            </w:r>
          </w:p>
        </w:tc>
      </w:tr>
      <w:tr>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nil"/>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公开09表</w:t>
            </w:r>
          </w:p>
        </w:tc>
      </w:tr>
      <w:tr>
        <w:tblPrEx>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部门：嘉禾县人民检察院</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2021年度</w:t>
            </w: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nil"/>
            </w:tcBorders>
            <w:shd w:val="clear" w:color="auto" w:fill="FFFFFF"/>
            <w:noWrap/>
            <w:vAlign w:val="center"/>
          </w:tcPr>
          <w:p>
            <w:pPr>
              <w:jc w:val="left"/>
              <w:rPr>
                <w:rFonts w:ascii="宋体" w:hAnsi="宋体" w:eastAsia="宋体" w:cs="宋体"/>
                <w:color w:val="000000"/>
                <w:sz w:val="18"/>
                <w:szCs w:val="18"/>
              </w:rPr>
            </w:pPr>
          </w:p>
        </w:tc>
        <w:tc>
          <w:tcPr>
            <w:tcW w:w="0" w:type="auto"/>
            <w:tcBorders>
              <w:top w:val="nil"/>
              <w:left w:val="nil"/>
              <w:bottom w:val="single" w:color="808080" w:sz="4" w:space="0"/>
              <w:right w:val="single" w:color="808080" w:sz="4" w:space="0"/>
            </w:tcBorders>
            <w:shd w:val="clear" w:color="auto" w:fill="FFFFFF"/>
            <w:noWrap/>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金额单位：万元</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w:t>
            </w:r>
          </w:p>
        </w:tc>
        <w:tc>
          <w:tcPr>
            <w:tcW w:w="4877" w:type="dxa"/>
            <w:gridSpan w:val="3"/>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本年支出</w:t>
            </w:r>
          </w:p>
        </w:tc>
      </w:tr>
      <w:tr>
        <w:tblPrEx>
          <w:tblCellMar>
            <w:top w:w="0" w:type="dxa"/>
            <w:left w:w="108" w:type="dxa"/>
            <w:bottom w:w="0" w:type="dxa"/>
            <w:right w:w="108" w:type="dxa"/>
          </w:tblCellMar>
        </w:tblPrEx>
        <w:trPr>
          <w:trHeight w:val="312" w:hRule="atLeast"/>
        </w:trPr>
        <w:tc>
          <w:tcPr>
            <w:tcW w:w="4158" w:type="dxa"/>
            <w:gridSpan w:val="3"/>
            <w:vMerge w:val="restart"/>
            <w:tcBorders>
              <w:top w:val="nil"/>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功能分类科目编码</w:t>
            </w:r>
          </w:p>
        </w:tc>
        <w:tc>
          <w:tcPr>
            <w:tcW w:w="0" w:type="auto"/>
            <w:vMerge w:val="restart"/>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科目名称</w:t>
            </w:r>
          </w:p>
        </w:tc>
        <w:tc>
          <w:tcPr>
            <w:tcW w:w="125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1254"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基本支出</w:t>
            </w:r>
          </w:p>
        </w:tc>
        <w:tc>
          <w:tcPr>
            <w:tcW w:w="2369" w:type="dxa"/>
            <w:vMerge w:val="restart"/>
            <w:tcBorders>
              <w:top w:val="nil"/>
              <w:left w:val="nil"/>
              <w:bottom w:val="single" w:color="000000" w:sz="4" w:space="0"/>
              <w:right w:val="single" w:color="000000" w:sz="4" w:space="0"/>
            </w:tcBorders>
            <w:shd w:val="clear" w:color="auto" w:fill="C0C0C0"/>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项目支出</w:t>
            </w:r>
          </w:p>
        </w:tc>
      </w:tr>
      <w:tr>
        <w:tblPrEx>
          <w:tblCellMar>
            <w:top w:w="0" w:type="dxa"/>
            <w:left w:w="108" w:type="dxa"/>
            <w:bottom w:w="0" w:type="dxa"/>
            <w:right w:w="108" w:type="dxa"/>
          </w:tblCellMar>
        </w:tblPrEx>
        <w:trPr>
          <w:trHeight w:val="312" w:hRule="atLeast"/>
        </w:trPr>
        <w:tc>
          <w:tcPr>
            <w:tcW w:w="415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25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5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36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4158" w:type="dxa"/>
            <w:gridSpan w:val="3"/>
            <w:vMerge w:val="continue"/>
            <w:tcBorders>
              <w:top w:val="nil"/>
              <w:left w:val="single" w:color="000000" w:sz="4" w:space="0"/>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0" w:type="auto"/>
            <w:vMerge w:val="continue"/>
            <w:tcBorders>
              <w:top w:val="nil"/>
              <w:left w:val="nil"/>
              <w:bottom w:val="single" w:color="000000" w:sz="4" w:space="0"/>
              <w:right w:val="single" w:color="000000" w:sz="4" w:space="0"/>
            </w:tcBorders>
            <w:shd w:val="clear" w:color="auto" w:fill="C0C0C0"/>
            <w:noWrap/>
            <w:vAlign w:val="center"/>
          </w:tcPr>
          <w:p>
            <w:pPr>
              <w:jc w:val="center"/>
              <w:rPr>
                <w:rFonts w:ascii="宋体" w:hAnsi="宋体" w:eastAsia="宋体" w:cs="宋体"/>
                <w:color w:val="000000"/>
                <w:sz w:val="20"/>
                <w:szCs w:val="20"/>
              </w:rPr>
            </w:pPr>
          </w:p>
        </w:tc>
        <w:tc>
          <w:tcPr>
            <w:tcW w:w="125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1254"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c>
          <w:tcPr>
            <w:tcW w:w="2369" w:type="dxa"/>
            <w:vMerge w:val="continue"/>
            <w:tcBorders>
              <w:top w:val="nil"/>
              <w:left w:val="nil"/>
              <w:bottom w:val="single" w:color="000000" w:sz="4" w:space="0"/>
              <w:right w:val="single" w:color="000000" w:sz="4" w:space="0"/>
            </w:tcBorders>
            <w:shd w:val="clear" w:color="auto" w:fill="C0C0C0"/>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栏次</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0" w:type="auto"/>
            <w:tcBorders>
              <w:top w:val="nil"/>
              <w:left w:val="nil"/>
              <w:bottom w:val="single" w:color="000000" w:sz="4" w:space="0"/>
              <w:right w:val="single" w:color="000000" w:sz="4" w:space="0"/>
            </w:tcBorders>
            <w:shd w:val="clear" w:color="auto" w:fill="C0C0C0"/>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r>
      <w:tr>
        <w:tblPrEx>
          <w:tblCellMar>
            <w:top w:w="0" w:type="dxa"/>
            <w:left w:w="108" w:type="dxa"/>
            <w:bottom w:w="0" w:type="dxa"/>
            <w:right w:w="108" w:type="dxa"/>
          </w:tblCellMar>
        </w:tblPrEx>
        <w:trPr>
          <w:trHeight w:val="300" w:hRule="atLeast"/>
        </w:trPr>
        <w:tc>
          <w:tcPr>
            <w:tcW w:w="0" w:type="auto"/>
            <w:gridSpan w:val="4"/>
            <w:tcBorders>
              <w:top w:val="nil"/>
              <w:left w:val="single" w:color="000000" w:sz="4" w:space="0"/>
              <w:bottom w:val="single" w:color="000000" w:sz="4" w:space="0"/>
              <w:right w:val="single" w:color="000000" w:sz="4" w:space="0"/>
            </w:tcBorders>
            <w:shd w:val="clear" w:color="auto" w:fill="C0C0C0"/>
            <w:noWrap/>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合计</w:t>
            </w: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0"/>
                <w:szCs w:val="20"/>
              </w:rPr>
            </w:pPr>
          </w:p>
        </w:tc>
        <w:tc>
          <w:tcPr>
            <w:tcW w:w="0" w:type="auto"/>
            <w:tcBorders>
              <w:top w:val="nil"/>
              <w:left w:val="nil"/>
              <w:bottom w:val="single" w:color="000000" w:sz="4" w:space="0"/>
              <w:right w:val="single" w:color="000000" w:sz="4" w:space="0"/>
            </w:tcBorders>
            <w:shd w:val="clear" w:color="auto" w:fill="00FF00"/>
            <w:noWrap/>
            <w:vAlign w:val="center"/>
          </w:tcPr>
          <w:p>
            <w:pPr>
              <w:jc w:val="right"/>
              <w:rPr>
                <w:rFonts w:ascii="宋体" w:hAnsi="宋体" w:eastAsia="宋体" w:cs="宋体"/>
                <w:b/>
                <w:color w:val="000000"/>
                <w:sz w:val="20"/>
                <w:szCs w:val="20"/>
              </w:rPr>
            </w:pPr>
          </w:p>
        </w:tc>
      </w:tr>
      <w:tr>
        <w:tblPrEx>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CCFFFF"/>
            <w:noWrap/>
            <w:vAlign w:val="center"/>
          </w:tcPr>
          <w:p>
            <w:pPr>
              <w:jc w:val="left"/>
              <w:rPr>
                <w:rFonts w:ascii="宋体" w:hAnsi="宋体" w:eastAsia="宋体" w:cs="宋体"/>
                <w:color w:val="000000"/>
                <w:sz w:val="20"/>
                <w:szCs w:val="20"/>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r>
              <w:rPr>
                <w:rFonts w:hint="eastAsia" w:ascii="宋体" w:hAnsi="宋体" w:eastAsia="宋体" w:cs="宋体"/>
                <w:b/>
                <w:bCs/>
                <w:color w:val="000000"/>
                <w:sz w:val="20"/>
                <w:szCs w:val="20"/>
              </w:rPr>
              <w:t>0.00</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0"/>
                <w:szCs w:val="20"/>
              </w:rPr>
            </w:pPr>
            <w:r>
              <w:rPr>
                <w:rFonts w:hint="eastAsia" w:ascii="宋体" w:hAnsi="宋体" w:eastAsia="宋体" w:cs="宋体"/>
                <w:b/>
                <w:bCs/>
                <w:color w:val="000000"/>
                <w:sz w:val="20"/>
                <w:szCs w:val="20"/>
              </w:rPr>
              <w:t>0.00</w:t>
            </w:r>
          </w:p>
        </w:tc>
      </w:tr>
      <w:tr>
        <w:tblPrEx>
          <w:tblCellMar>
            <w:top w:w="0" w:type="dxa"/>
            <w:left w:w="108" w:type="dxa"/>
            <w:bottom w:w="0" w:type="dxa"/>
            <w:right w:w="108" w:type="dxa"/>
          </w:tblCellMar>
        </w:tblPrEx>
        <w:trPr>
          <w:trHeight w:val="300" w:hRule="atLeast"/>
        </w:trPr>
        <w:tc>
          <w:tcPr>
            <w:tcW w:w="0" w:type="auto"/>
            <w:gridSpan w:val="7"/>
            <w:tcBorders>
              <w:top w:val="nil"/>
              <w:left w:val="nil"/>
              <w:bottom w:val="nil"/>
              <w:right w:val="nil"/>
            </w:tcBorders>
            <w:shd w:val="clear" w:color="auto" w:fill="FFFFFF"/>
            <w:noWrap/>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注：本表反映部门本年度国有资本经营预算财政拨款支出情况。2021年度本部门无国有资本经营预算收支，因此本表无数据。</w:t>
            </w:r>
          </w:p>
        </w:tc>
      </w:tr>
    </w:tbl>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both"/>
        <w:rPr>
          <w:sz w:val="72"/>
          <w:szCs w:val="72"/>
        </w:rPr>
      </w:pPr>
    </w:p>
    <w:p>
      <w:pPr>
        <w:pStyle w:val="12"/>
        <w:jc w:val="both"/>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Theme="minorEastAsia" w:hAnsiTheme="minorEastAsia"/>
          <w:sz w:val="32"/>
          <w:szCs w:val="32"/>
        </w:rPr>
      </w:pPr>
      <w:r>
        <w:rPr>
          <w:sz w:val="70"/>
          <w:szCs w:val="70"/>
        </w:rPr>
        <w:br w:type="page"/>
      </w:r>
    </w:p>
    <w:p>
      <w:pPr>
        <w:pStyle w:val="12"/>
        <w:rPr>
          <w:rFonts w:hAnsi="黑体"/>
          <w:b/>
          <w:sz w:val="32"/>
          <w:szCs w:val="32"/>
        </w:rPr>
      </w:pPr>
      <w:r>
        <w:rPr>
          <w:rFonts w:hint="eastAsia" w:hAnsi="黑体"/>
          <w:b/>
          <w:sz w:val="32"/>
          <w:szCs w:val="32"/>
        </w:rPr>
        <w:t>一、收入支出决算总体情况说明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2021年度收、支总计1135.17万元。与上年相比，减少58.95万元，减少4.94%，主要是因为落实中央和省委省政府过“紧”日子的政策要求，压减一般性支出。</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2021年度收入合计1082.76万元，其中：财政拨款收入1033.58万元，占95.46%；其他收入49.18万元，占4.54%。</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2021年度支出合计1046.35万元，其中：基本支出928.6万元，占88.75%；项目支出117.75万元，占11.25%。</w:t>
      </w:r>
    </w:p>
    <w:p>
      <w:pPr>
        <w:pStyle w:val="12"/>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2021年度财政拨款收、支总计1085.99万元，与上年相比，增加7.52万元,增长0.7%，主要是因为年中追加工作网电脑终端购置经费。</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2021年度财政拨款支出997.16万元，占本年支出合计的95.3%，与上年相比，财政拨款支出增加9.06万元，增长0.91%，主要是因为本年新增工作网终端采购费用。</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997.16万元，主要用于以下方面：一般公共服务支出3万元，占比0.3%；公共安全支出885.4万元，占比88.79%；社会保障和就业支出38.54万元，占比3.86%；卫生健康支出19.7万元，占比1.98%；住房保障支出50.52万元，占比5.07%。</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2021年度财政拨款支出年初预算数为991.98万元，支出决算数为997.16万元，完成年初预算的106.13%，其中：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1、一般公共服务支出-人大事务-行政运行支出年初预算0万元，决算数3万元，决算数大于年初预算数的主要原因是年中指标调整。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2、公共安全-检察-行政运行支出年初预算为771.73万元，支出决算为767.66万元，完成年初预算的99.47%，决算数小于年初预算数的主要原因是：为落实中央和省委省政府过“紧”日子的政策要求。</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3、公共安全-检察-一般行政管理事务支出年初预算为72.4万元，支出决算为117.75万元，完成年初预算的162.64%，决算数大于年初预算数的主要原因是：因为办公办案工作需要年中追加办公设备购置等经费。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4、社会保障和就业支出-行政事业单位养老支出-机关事业单位基本养老保险缴费支出年初预算为42.5万元，支出决算为37.08万元，完成年初预算的87.25%，决算数小于年初预算数的主要原因是：正常在职人员增减导致年中实际开支减少。</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5、社会保障和就业支出-其他社会保障和就业支出-其他社会保障和就业支出支出年初预算为2.65万元，支出决算为1.47万元，完成年初预算的63.4%，决算数小于年初预算数的主要原因是：正常在职人员增减及缴费标准调整导致年中实际开支减少。</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卫生健康支出-行政事业单位医疗-行政单位医疗支出年初预算为44.7万元，支出决算为19.7万元，完成年初预算的44.07%，决算数小于年初预算数的主要原因是：正常在职人员增减及公务员医疗补助政策调整导致年中实际开支减少。</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7、住房保障支出-住房改革支出-住房公积金支出年初预算为58万元，支出决算为50.52万元，完成年初预算的87.1%，决算数大于年初预算数的主要原因是：正常在职人员增减导致年中实际开支减少。</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879.42万元，其中：人员经费472.12万元，占基本支出的53.69%,主要包括基本工资、津贴补贴、奖金、机关事业单位基本养老保险缴费、职工基本医疗保险缴费、其他社会保障缴费、住房公积金、其他工资福利支出、生活补助、其他对个人和家庭的补助；公用经费407.3万元，占基本支出的46.31%，主要包括办公费、印刷费、水费、电费、邮电费、物业管理费、差旅费、维修（护）费、公务接待费、劳务费、工会经费、福利费、公务用车运行维护费、其他交通费用、其他商品和服务支出。</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2021年度“三公”经费财政拨款支出预算为34.8万元，支出决算为28.29万元，完成预算的81.29%，其中：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因公出国（境）费支出预算为0万元，支出决算为0万元，决算数等于年初预算数，主要是本年度未开展因公出国项目，与上年相比持平。</w:t>
      </w:r>
    </w:p>
    <w:p>
      <w:pPr>
        <w:pStyle w:val="12"/>
        <w:ind w:firstLine="800" w:firstLineChars="250"/>
        <w:rPr>
          <w:rFonts w:asciiTheme="minorEastAsia" w:hAnsiTheme="minorEastAsia" w:eastAsiaTheme="minorEastAsia"/>
          <w:sz w:val="32"/>
          <w:szCs w:val="32"/>
          <w:highlight w:val="yellow"/>
        </w:rPr>
      </w:pPr>
      <w:r>
        <w:rPr>
          <w:rFonts w:hint="eastAsia" w:asciiTheme="minorEastAsia" w:hAnsiTheme="minorEastAsia" w:eastAsiaTheme="minorEastAsia"/>
          <w:sz w:val="32"/>
          <w:szCs w:val="32"/>
        </w:rPr>
        <w:t>公务接待费支出预算为10万元，支出决算为3.72万元，完成预算的37.2%，决算数小于预算数的主要原因是进一步从严控制公务接待经费开支，与上年相比减少3.77万元，减少50.33%,减少的主要原因是进一步从严控制公务接待经费开支。</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17.98万元，比例无法计算比预算增加的数字，决算数大于预算数的主要原因是新增公务用车购置计划，调整了预算用于公务用车购置。与上年相比增加3.89万元，增加21.64%,增加的主要原因是公务用车购置车型不同，价格及购置税有差异。</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24.8万元，支出决算为6.59万元，完成预算的26.57%，决算数小于预算数的主要原因是新增公务用车购置计划，调整了预算用于公务用车购置，与上年相比减少13.67万元，减少67.47%,减少的主要原因是“三公”经费整体较上年预算有减少，且本年新</w:t>
      </w:r>
      <w:r>
        <w:rPr>
          <w:rFonts w:hint="eastAsia" w:asciiTheme="minorEastAsia" w:hAnsiTheme="minorEastAsia" w:eastAsiaTheme="minorEastAsia"/>
          <w:sz w:val="32"/>
          <w:szCs w:val="32"/>
          <w:lang w:eastAsia="zh-CN"/>
        </w:rPr>
        <w:t>购</w:t>
      </w:r>
      <w:r>
        <w:rPr>
          <w:rFonts w:hint="eastAsia" w:asciiTheme="minorEastAsia" w:hAnsiTheme="minorEastAsia" w:eastAsiaTheme="minorEastAsia"/>
          <w:sz w:val="32"/>
          <w:szCs w:val="32"/>
        </w:rPr>
        <w:t>公务用车</w:t>
      </w:r>
      <w:r>
        <w:rPr>
          <w:rFonts w:hint="eastAsia" w:asciiTheme="minorEastAsia" w:hAnsiTheme="minorEastAsia" w:eastAsiaTheme="minorEastAsia"/>
          <w:sz w:val="32"/>
          <w:szCs w:val="32"/>
          <w:lang w:val="en-US" w:eastAsia="zh-CN"/>
        </w:rPr>
        <w:t>1辆</w:t>
      </w:r>
      <w:r>
        <w:rPr>
          <w:rFonts w:hint="eastAsia" w:asciiTheme="minorEastAsia" w:hAnsiTheme="minorEastAsia" w:eastAsiaTheme="minorEastAsia"/>
          <w:sz w:val="32"/>
          <w:szCs w:val="32"/>
        </w:rPr>
        <w:t>。</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2021年度“三公”经费财政拨款支出决算中，公务接待费支出决算3.72万元，占13.15%,因公出国（境）费支出决算0万元，公务用车购置费及运行维护费支出决算24.57万元，占86.85%。其中：</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w:t>
      </w:r>
      <w:bookmarkStart w:id="2" w:name="_GoBack"/>
      <w:bookmarkEnd w:id="2"/>
      <w:r>
        <w:rPr>
          <w:rFonts w:hint="eastAsia" w:asciiTheme="minorEastAsia" w:hAnsiTheme="minorEastAsia" w:eastAsiaTheme="minorEastAsia"/>
          <w:sz w:val="32"/>
          <w:szCs w:val="32"/>
        </w:rPr>
        <w:t>因公出国（境）费支出决算为0万元，全年安排因公出国（境）团组0个，累计0人次，开支内容包括：无。</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2、公务接待费支出决算为3.72万元，全年共接待来访团组39个、来宾171人次，主要是接待各地检察机关和相关部门交流工作和协办案件等发生的接待支出。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3、公务用车购置费及运行维护费支出决算为24.57万元，其中：公务用车购置费17.98万元，我院更新公务用车1辆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6.59万元，主要是机要通信、执法执勤和侦查办案等所需的公务车辆的燃油费、维修费、过桥过路费、年审费和保险费等支出，截止2021年12月31日，本单位开支财政拨款的公务用车保有量为7辆。</w:t>
      </w:r>
    </w:p>
    <w:p>
      <w:pPr>
        <w:pStyle w:val="12"/>
        <w:rPr>
          <w:rFonts w:hAnsi="黑体"/>
          <w:b/>
          <w:sz w:val="32"/>
          <w:szCs w:val="32"/>
        </w:rPr>
      </w:pPr>
      <w:r>
        <w:rPr>
          <w:rFonts w:hint="eastAsia" w:hAnsi="黑体"/>
          <w:b/>
          <w:sz w:val="32"/>
          <w:szCs w:val="32"/>
        </w:rPr>
        <w:t>八、政府性基金预算收入支出决算情况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2021年度本部门无政府性基金收支。</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本部门2021年度机关运行经费支出407.3万元，比上年决算数增加40.97万元，增长11.18%。主要原因是：2021年度用于基础设施维修的维修（护）费及与郴州日报、红网各个宣传部门合作的办公费增加。</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2021年本部门开支会议费0万元；开支培训费0万元；未举办节庆、晚会、论坛、赛事活动，开支0万元。</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206.98万元，其中：政府采购货物支出121.06万元、政府采购工程支出36.52万元、政府采购服务支出49.39万元。授予中小企业合同金额0元，占政府采购支出总额的0%，其中，授予小微企业合同金额0万元，占授予中小企业合同金额的0%；货物采购授予中小企业合同金额占货物支出金额的0%，工程采购授予中小企业合同金额占工程支出金额的0%，服务采购授予中小企业合同金额占服务支出金额的0%。</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000000" w:themeColor="text1"/>
          <w:sz w:val="32"/>
          <w:szCs w:val="32"/>
        </w:rPr>
        <w:t>截至2021年12月31日，本单位共有车辆7辆，其中，领导干部用车0辆、机要通信用车0辆、应急保障用车0辆、执法执勤用车7辆、特种专业技术用车0辆、其他用车0辆；单位价值50万元以上通用设备0台（套）；单位价值100万元以上专用设备0台（套）。</w:t>
      </w:r>
    </w:p>
    <w:p>
      <w:pPr>
        <w:pStyle w:val="12"/>
        <w:rPr>
          <w:rFonts w:asciiTheme="minorEastAsia" w:hAnsiTheme="minorEastAsia"/>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FF0000"/>
          <w:kern w:val="0"/>
          <w:sz w:val="32"/>
          <w:szCs w:val="32"/>
        </w:rPr>
      </w:pPr>
      <w:r>
        <w:rPr>
          <w:rFonts w:hint="eastAsia" w:cs="黑体" w:asciiTheme="minorEastAsia" w:hAnsiTheme="minorEastAsia"/>
          <w:color w:val="000000"/>
          <w:kern w:val="0"/>
          <w:sz w:val="32"/>
          <w:szCs w:val="32"/>
        </w:rPr>
        <w:t>本单位部门整体绩效自评由省院统一开展，网址为（</w:t>
      </w:r>
      <w:r>
        <w:fldChar w:fldCharType="begin"/>
      </w:r>
      <w:r>
        <w:instrText xml:space="preserve"> HYPERLINK "https://www.hn.jcy.gov.cn/xwfb/czxx/qtczxxgk/202206/1537346769879302144.html" </w:instrText>
      </w:r>
      <w:r>
        <w:fldChar w:fldCharType="separate"/>
      </w:r>
      <w:r>
        <w:rPr>
          <w:rFonts w:hint="eastAsia" w:cs="黑体" w:asciiTheme="minorEastAsia" w:hAnsiTheme="minorEastAsia"/>
          <w:color w:val="000000"/>
          <w:kern w:val="0"/>
          <w:sz w:val="32"/>
          <w:szCs w:val="32"/>
        </w:rPr>
        <w:t>https://www.hn.jcy.gov.cn/xwfb/czxx/qtczxxgk/202206/1537346769879302144.html</w:t>
      </w:r>
      <w:r>
        <w:rPr>
          <w:rFonts w:hint="eastAsia" w:cs="黑体" w:asciiTheme="minorEastAsia" w:hAnsiTheme="minorEastAsia"/>
          <w:color w:val="000000"/>
          <w:kern w:val="0"/>
          <w:sz w:val="32"/>
          <w:szCs w:val="32"/>
        </w:rPr>
        <w:fldChar w:fldCharType="end"/>
      </w:r>
      <w:r>
        <w:rPr>
          <w:rFonts w:hint="eastAsia" w:cs="黑体" w:asciiTheme="minorEastAsia" w:hAnsiTheme="minorEastAsia"/>
          <w:color w:val="000000"/>
          <w:kern w:val="0"/>
          <w:sz w:val="32"/>
          <w:szCs w:val="32"/>
        </w:rPr>
        <w:t>）</w:t>
      </w: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autoSpaceDE w:val="0"/>
        <w:autoSpaceDN w:val="0"/>
        <w:adjustRightInd w:val="0"/>
        <w:jc w:val="left"/>
        <w:rPr>
          <w:rFonts w:cs="黑体" w:asciiTheme="minorEastAsia" w:hAnsiTheme="minorEastAsia"/>
          <w:color w:val="000000"/>
          <w:kern w:val="0"/>
          <w:sz w:val="32"/>
          <w:szCs w:val="3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cs="黑体" w:asciiTheme="minorEastAsia" w:hAnsiTheme="minorEastAsia"/>
          <w:color w:val="000000"/>
          <w:kern w:val="0"/>
          <w:sz w:val="32"/>
          <w:szCs w:val="32"/>
        </w:rPr>
      </w:pPr>
      <w:r>
        <w:rPr>
          <w:rFonts w:ascii="黑体" w:eastAsia="黑体" w:cs="黑体"/>
          <w:color w:val="000000"/>
          <w:kern w:val="0"/>
          <w:sz w:val="70"/>
          <w:szCs w:val="70"/>
        </w:rPr>
        <w:br w:type="page"/>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一、财政拨款收入</w:t>
      </w:r>
      <w:r>
        <w:rPr>
          <w:rStyle w:val="8"/>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二、其他收入</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三、上年结转和结余</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四、年末结转和结余</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五、公共安全支出（类）检察（款）</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（一）住房公积金（项）</w:t>
      </w:r>
      <w:r>
        <w:rPr>
          <w:rStyle w:val="8"/>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8"/>
          <w:rFonts w:ascii="楷体_GB2312" w:hAnsi="楷体" w:eastAsia="楷体_GB2312" w:cs="楷体"/>
          <w:b w:val="0"/>
          <w:sz w:val="32"/>
          <w:szCs w:val="32"/>
          <w:shd w:val="clear" w:color="auto" w:fill="FFFFFF"/>
        </w:rPr>
        <w:t>（二）</w:t>
      </w:r>
      <w:r>
        <w:rPr>
          <w:rStyle w:val="8"/>
          <w:rFonts w:hint="eastAsia" w:ascii="楷体_GB2312" w:hAnsi="楷体" w:eastAsia="楷体_GB2312" w:cs="楷体"/>
          <w:b w:val="0"/>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九、基本支出</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8"/>
          <w:rFonts w:hint="eastAsia" w:ascii="楷体_GB2312" w:hAnsi="楷体" w:eastAsia="楷体_GB2312" w:cs="楷体"/>
          <w:b w:val="0"/>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jc w:val="left"/>
        <w:rPr>
          <w:rFonts w:cs="黑体" w:asciiTheme="minorEastAsia" w:hAnsiTheme="minorEastAsia"/>
          <w:color w:val="000000"/>
          <w:kern w:val="0"/>
          <w:sz w:val="32"/>
          <w:szCs w:val="32"/>
        </w:rPr>
      </w:pPr>
      <w:r>
        <w:fldChar w:fldCharType="begin"/>
      </w:r>
      <w:r>
        <w:instrText xml:space="preserve"> HYPERLINK "https://www.hn.jcy.gov.cn/xwfb/czxx/qtczxxgk/202206/1537346769879302144.html" </w:instrText>
      </w:r>
      <w:r>
        <w:fldChar w:fldCharType="separate"/>
      </w:r>
      <w:r>
        <w:rPr>
          <w:rFonts w:hint="eastAsia" w:cs="黑体" w:asciiTheme="minorEastAsia" w:hAnsiTheme="minorEastAsia"/>
          <w:color w:val="000000"/>
          <w:kern w:val="0"/>
          <w:sz w:val="32"/>
          <w:szCs w:val="32"/>
        </w:rPr>
        <w:t>https://www.hn.jcy.gov.cn/xwfb/czxx/qtczxxgk/202206/1537346769879302144.html</w:t>
      </w:r>
      <w:r>
        <w:rPr>
          <w:rFonts w:hint="eastAsia" w:cs="黑体" w:asciiTheme="minorEastAsia" w:hAnsiTheme="minorEastAsia"/>
          <w:color w:val="000000"/>
          <w:kern w:val="0"/>
          <w:sz w:val="32"/>
          <w:szCs w:val="32"/>
        </w:rPr>
        <w:fldChar w:fldCharType="end"/>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ZhNTBiZDIxZDU3Nzc0YWVmMzM3MDBjMGY0YjdkMzkifQ=="/>
  </w:docVars>
  <w:rsids>
    <w:rsidRoot w:val="004506F9"/>
    <w:rsid w:val="0002229B"/>
    <w:rsid w:val="000273BD"/>
    <w:rsid w:val="000415B7"/>
    <w:rsid w:val="00041E3F"/>
    <w:rsid w:val="00055DAA"/>
    <w:rsid w:val="00061F7B"/>
    <w:rsid w:val="000658A3"/>
    <w:rsid w:val="00074155"/>
    <w:rsid w:val="000873EF"/>
    <w:rsid w:val="000A3F69"/>
    <w:rsid w:val="00103957"/>
    <w:rsid w:val="00113DCE"/>
    <w:rsid w:val="00124A1F"/>
    <w:rsid w:val="00152C6D"/>
    <w:rsid w:val="00162D39"/>
    <w:rsid w:val="001678BD"/>
    <w:rsid w:val="00182373"/>
    <w:rsid w:val="001A67DB"/>
    <w:rsid w:val="001C3C29"/>
    <w:rsid w:val="001D51E5"/>
    <w:rsid w:val="001E0554"/>
    <w:rsid w:val="001E080D"/>
    <w:rsid w:val="001E53D0"/>
    <w:rsid w:val="001F0C3B"/>
    <w:rsid w:val="00202C14"/>
    <w:rsid w:val="00202C82"/>
    <w:rsid w:val="00214427"/>
    <w:rsid w:val="00226CB7"/>
    <w:rsid w:val="0024406B"/>
    <w:rsid w:val="00264552"/>
    <w:rsid w:val="00264EF9"/>
    <w:rsid w:val="00265724"/>
    <w:rsid w:val="0027426B"/>
    <w:rsid w:val="002A29B7"/>
    <w:rsid w:val="002E0A30"/>
    <w:rsid w:val="0031164A"/>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4D453C"/>
    <w:rsid w:val="00500E5F"/>
    <w:rsid w:val="005122EF"/>
    <w:rsid w:val="0051441A"/>
    <w:rsid w:val="00517C33"/>
    <w:rsid w:val="00517D5F"/>
    <w:rsid w:val="00521AF2"/>
    <w:rsid w:val="00523644"/>
    <w:rsid w:val="00523F5B"/>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3CCF"/>
    <w:rsid w:val="00787B42"/>
    <w:rsid w:val="007C4539"/>
    <w:rsid w:val="007F3657"/>
    <w:rsid w:val="00812ED5"/>
    <w:rsid w:val="008277D9"/>
    <w:rsid w:val="0084478C"/>
    <w:rsid w:val="0086638C"/>
    <w:rsid w:val="008A3E8D"/>
    <w:rsid w:val="009237C4"/>
    <w:rsid w:val="00926A48"/>
    <w:rsid w:val="00944C48"/>
    <w:rsid w:val="00950252"/>
    <w:rsid w:val="00967F5D"/>
    <w:rsid w:val="00993289"/>
    <w:rsid w:val="009A0F95"/>
    <w:rsid w:val="009B3ADF"/>
    <w:rsid w:val="009C3B52"/>
    <w:rsid w:val="009E6817"/>
    <w:rsid w:val="009E6E9A"/>
    <w:rsid w:val="00A01D2B"/>
    <w:rsid w:val="00A05623"/>
    <w:rsid w:val="00A42218"/>
    <w:rsid w:val="00A70249"/>
    <w:rsid w:val="00A70B02"/>
    <w:rsid w:val="00A71D9F"/>
    <w:rsid w:val="00A92E9F"/>
    <w:rsid w:val="00B33BEA"/>
    <w:rsid w:val="00B57C9F"/>
    <w:rsid w:val="00B62A81"/>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107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C81DD2"/>
    <w:rsid w:val="0B067264"/>
    <w:rsid w:val="0ED43555"/>
    <w:rsid w:val="31EF8A04"/>
    <w:rsid w:val="34391517"/>
    <w:rsid w:val="3E73405A"/>
    <w:rsid w:val="47D63F94"/>
    <w:rsid w:val="4EEF024E"/>
    <w:rsid w:val="56F7A26B"/>
    <w:rsid w:val="5D9B9DF4"/>
    <w:rsid w:val="71D27660"/>
    <w:rsid w:val="773E1E25"/>
    <w:rsid w:val="7DEF8CEB"/>
    <w:rsid w:val="7EDBEDEC"/>
    <w:rsid w:val="7FB8CC11"/>
    <w:rsid w:val="7FEF612D"/>
    <w:rsid w:val="8FF75FD4"/>
    <w:rsid w:val="9FAD639F"/>
    <w:rsid w:val="A5E5D774"/>
    <w:rsid w:val="BABC84DD"/>
    <w:rsid w:val="EFDF2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8">
    <w:name w:val="Strong"/>
    <w:basedOn w:val="7"/>
    <w:qFormat/>
    <w:uiPriority w:val="22"/>
    <w:rPr>
      <w:b/>
    </w:rPr>
  </w:style>
  <w:style w:type="character" w:styleId="9">
    <w:name w:val="Hyperlink"/>
    <w:basedOn w:val="7"/>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8359</Words>
  <Characters>11731</Characters>
  <Lines>101</Lines>
  <Paragraphs>28</Paragraphs>
  <TotalTime>20</TotalTime>
  <ScaleCrop>false</ScaleCrop>
  <LinksUpToDate>false</LinksUpToDate>
  <CharactersWithSpaces>11952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2020-07-04T02:32:00Z</dcterms:created>
  <dc:creator>李航 null</dc:creator>
  <cp:lastModifiedBy>Administrator</cp:lastModifiedBy>
  <cp:lastPrinted>2022-07-29T12:55:00Z</cp:lastPrinted>
  <dcterms:modified xsi:type="dcterms:W3CDTF">2023-09-26T02:31:42Z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B6830053404B42F0AA907C86661A254E</vt:lpwstr>
  </property>
</Properties>
</file>